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jc w:val="center"/>
        <w:rPr>
          <w:sz w:val="32"/>
          <w:szCs w:val="3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48305" cy="948305"/>
                <wp:effectExtent l="0" t="0" r="0" b="0"/>
                <wp:docPr id="2" name="_x0000_i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-103" t="-103" r="-102" b="-102"/>
                        <a:stretch/>
                      </pic:blipFill>
                      <pic:spPr bwMode="auto">
                        <a:xfrm>
                          <a:off x="0" y="0"/>
                          <a:ext cx="948305" cy="94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4.67pt;height:74.6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jc w:val="center"/>
      </w:pPr>
      <w:r>
        <w:rPr>
          <w:sz w:val="28"/>
          <w:szCs w:val="28"/>
        </w:rPr>
        <w:t xml:space="preserve">Министерство транспорта Российской Федерации</w:t>
      </w:r>
      <w:r/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</w:pPr>
      <w:r>
        <w:rPr>
          <w:sz w:val="28"/>
          <w:szCs w:val="28"/>
        </w:rPr>
        <w:t xml:space="preserve">Федеральная служба по надзору в сфере транспорта</w:t>
      </w:r>
      <w:r/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</w:pPr>
      <w:r>
        <w:rPr>
          <w:sz w:val="28"/>
          <w:szCs w:val="28"/>
        </w:rPr>
        <w:t xml:space="preserve">МТУ Ространснадзора по СФО</w:t>
      </w:r>
      <w:r/>
    </w:p>
    <w:p>
      <w:pPr>
        <w:pStyle w:val="665"/>
        <w:jc w:val="center"/>
      </w:pPr>
      <w:r>
        <w:rPr>
          <w:sz w:val="28"/>
          <w:szCs w:val="28"/>
        </w:rPr>
        <w:t xml:space="preserve">Красноярский территориальный отдел госморречнадзора</w:t>
      </w:r>
      <w:r/>
    </w:p>
    <w:p>
      <w:pPr>
        <w:pStyle w:val="665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</w:pPr>
      <w:r>
        <w:rPr>
          <w:b/>
          <w:sz w:val="28"/>
          <w:szCs w:val="28"/>
        </w:rPr>
        <w:t xml:space="preserve">«Доклад о результатах обобщения правоприменительной практики при осуществлении федерального государственного контроля (надзора) в области торгового мореплавания и внутреннего водного транспорта </w:t>
      </w:r>
      <w:r/>
    </w:p>
    <w:p>
      <w:pPr>
        <w:pStyle w:val="665"/>
        <w:jc w:val="center"/>
      </w:pPr>
      <w:r>
        <w:rPr>
          <w:b/>
          <w:sz w:val="28"/>
          <w:szCs w:val="28"/>
        </w:rPr>
        <w:t xml:space="preserve">за 1 квартал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года»</w:t>
      </w:r>
      <w:r/>
    </w:p>
    <w:p>
      <w:pPr>
        <w:pStyle w:val="66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6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6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jc w:val="center"/>
      </w:pPr>
      <w:r>
        <w:rPr>
          <w:bCs/>
          <w:sz w:val="28"/>
          <w:szCs w:val="28"/>
        </w:rPr>
        <w:t xml:space="preserve">г. Красноярск </w:t>
      </w:r>
      <w:r/>
    </w:p>
    <w:p>
      <w:pPr>
        <w:pStyle w:val="665"/>
        <w:jc w:val="center"/>
      </w:pPr>
      <w:r>
        <w:rPr>
          <w:bCs/>
          <w:sz w:val="28"/>
          <w:szCs w:val="28"/>
        </w:rPr>
        <w:t xml:space="preserve">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г.</w:t>
      </w:r>
      <w:r/>
    </w:p>
    <w:p>
      <w:pPr>
        <w:pStyle w:val="69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</w:t>
      </w:r>
      <w:r/>
    </w:p>
    <w:p>
      <w:pPr>
        <w:pStyle w:val="6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91"/>
        <w:ind w:left="0" w:right="0" w:firstLine="708"/>
        <w:jc w:val="both"/>
      </w:pPr>
      <w:r>
        <w:rPr>
          <w:rStyle w:val="678"/>
          <w:sz w:val="28"/>
          <w:szCs w:val="28"/>
        </w:rPr>
        <w:t xml:space="preserve">Доклад о результатах обобщения правоприменительной практики при осуществлении федерального государственного контроля (на</w:t>
      </w:r>
      <w:r>
        <w:rPr>
          <w:rStyle w:val="678"/>
          <w:sz w:val="28"/>
          <w:szCs w:val="28"/>
        </w:rPr>
        <w:t xml:space="preserve">дзора) в области торгового мореплавания и внутреннего водного транспорта подготовлен в соответствии с требованиями статьи 47 Федерального закона от 31.07.2020 N 248-ФЗ "О государственном контроле (надзоре) и муниципальном контроле в Российской Федерации". </w:t>
      </w:r>
      <w:r/>
    </w:p>
    <w:p>
      <w:pPr>
        <w:pStyle w:val="691"/>
        <w:ind w:left="0" w:right="0" w:firstLine="708"/>
        <w:jc w:val="both"/>
      </w:pPr>
      <w:r>
        <w:rPr>
          <w:rStyle w:val="678"/>
          <w:sz w:val="28"/>
          <w:szCs w:val="28"/>
        </w:rPr>
        <w:t xml:space="preserve">Федеральный государственный контроль (надзор) в области торгового мореплавания и внутреннего водного транспорта (далее – Федеральный контроль) осуществляется Управлением государственного</w:t>
      </w:r>
      <w:r>
        <w:rPr>
          <w:rStyle w:val="678"/>
          <w:sz w:val="28"/>
          <w:szCs w:val="28"/>
        </w:rPr>
        <w:t xml:space="preserve"> морского и речного надзора в соответствии с Положением о федеральном государственном контроле (надзоре) в области торгового мореплавания и внутреннего водного транспорта, утвержденным постановлением Правительства Российской Федерации от 29.06.2021 N 1047.</w:t>
      </w:r>
      <w:r/>
    </w:p>
    <w:p>
      <w:pPr>
        <w:pStyle w:val="691"/>
        <w:ind w:left="0" w:right="0" w:firstLine="708"/>
        <w:jc w:val="both"/>
      </w:pPr>
      <w:r>
        <w:rPr>
          <w:rStyle w:val="678"/>
          <w:sz w:val="28"/>
          <w:szCs w:val="28"/>
        </w:rPr>
        <w:t xml:space="preserve">Федеральный контроль осуществляется Межрегиональным территориальным управлением Федеральной службы по надзору в сфере транспорта по Сибирскому федеральному округу (МТУ Ространснадзора по СФО).</w:t>
      </w:r>
      <w:r/>
    </w:p>
    <w:p>
      <w:pPr>
        <w:pStyle w:val="691"/>
        <w:ind w:left="0" w:right="0"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осуществления полномочий и организации деятельности в МТУ Ространснадзора по СФО в пределах установленной штатной численности образован Красноярский территориальный отдел госморречнадзора (далее - Отдел).</w:t>
      </w:r>
      <w:r/>
    </w:p>
    <w:p>
      <w:pPr>
        <w:pStyle w:val="691"/>
        <w:ind w:left="0" w:right="0" w:firstLine="708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Отдел осуществляет возложенные на него полномочия в пределах границ зоны ответственности: </w:t>
      </w:r>
      <w:r/>
    </w:p>
    <w:p>
      <w:pPr>
        <w:pStyle w:val="665"/>
        <w:contextualSpacing/>
        <w:ind w:left="0" w:right="0" w:firstLine="708"/>
        <w:jc w:val="both"/>
        <w:spacing w:before="0" w:after="144"/>
        <w:shd w:val="clear" w:color="auto" w:fill="ffffff"/>
        <w:outlineLvl w:val="0"/>
      </w:pPr>
      <w:r>
        <w:rPr>
          <w:bCs/>
          <w:sz w:val="28"/>
          <w:szCs w:val="28"/>
          <w:lang w:eastAsia="ru-RU"/>
        </w:rPr>
        <w:t xml:space="preserve">- Реки большой Енисей и Малый Енисей, река Енисей – от г. Кызыл до пло</w:t>
      </w:r>
      <w:r>
        <w:rPr>
          <w:bCs/>
          <w:sz w:val="28"/>
          <w:szCs w:val="28"/>
          <w:lang w:eastAsia="ru-RU"/>
        </w:rPr>
        <w:t xml:space="preserve">тины Красноярской ГЭС включая Красноярское и Саяно-Шушенское водохранилища (с учетом притоков Красноярского водохранилища, согласно Распоряжению Правительства РФ от 19.12.2002 № 1800-р «Об утверждении перечня внутренних водных путей Российской Федерации»).</w:t>
      </w:r>
      <w:r/>
    </w:p>
    <w:p>
      <w:pPr>
        <w:pStyle w:val="665"/>
        <w:contextualSpacing/>
        <w:ind w:left="0" w:right="0" w:firstLine="708"/>
        <w:jc w:val="both"/>
        <w:spacing w:before="0" w:after="144"/>
        <w:shd w:val="clear" w:color="auto" w:fill="ffffff"/>
        <w:outlineLvl w:val="0"/>
      </w:pPr>
      <w:r>
        <w:rPr>
          <w:b/>
          <w:bCs/>
          <w:sz w:val="28"/>
          <w:szCs w:val="28"/>
          <w:lang w:eastAsia="ru-RU"/>
        </w:rPr>
        <w:t xml:space="preserve">- </w:t>
      </w:r>
      <w:r>
        <w:rPr>
          <w:bCs/>
          <w:sz w:val="28"/>
          <w:szCs w:val="28"/>
          <w:lang w:eastAsia="ru-RU"/>
        </w:rPr>
        <w:t xml:space="preserve">Река Енисей – от плотины Красноярской ГЭС до </w:t>
      </w:r>
      <w:r>
        <w:rPr>
          <w:sz w:val="28"/>
          <w:szCs w:val="28"/>
          <w:lang w:eastAsia="ru-RU"/>
        </w:rPr>
        <w:t xml:space="preserve">селения Новокаргино </w:t>
      </w:r>
      <w:r>
        <w:rPr>
          <w:bCs/>
          <w:sz w:val="28"/>
          <w:szCs w:val="28"/>
          <w:lang w:eastAsia="ru-RU"/>
        </w:rPr>
        <w:t xml:space="preserve">по лоцманской карте от Красноярской ГЭС до устья реки Ангара.</w:t>
      </w:r>
      <w:r/>
    </w:p>
    <w:p>
      <w:pPr>
        <w:pStyle w:val="69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</w:r>
    </w:p>
    <w:p>
      <w:pPr>
        <w:pStyle w:val="69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1.1. Контрольно-надзорная деятельность</w:t>
      </w:r>
      <w:r/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8"/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состоянию на 1 января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Отделу подконтрольна деятельность 9</w:t>
      </w:r>
      <w:r>
        <w:rPr>
          <w:rFonts w:ascii="Times New Roman" w:hAnsi="Times New Roman" w:cs="Times New Roman"/>
          <w:bCs/>
          <w:sz w:val="28"/>
          <w:szCs w:val="28"/>
        </w:rPr>
        <w:t xml:space="preserve">9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контролируемых лиц и 12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объекта контроля по Красноярскому краю, Республике Хакасия, Республике Тыва.</w:t>
      </w:r>
      <w:r/>
    </w:p>
    <w:p>
      <w:pPr>
        <w:pStyle w:val="691"/>
        <w:ind w:left="0" w:right="0"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Основные изменения в подходе к осуществлению контрольной и надзорной деятельности произошли в 2021 году после вступлен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ия в силу Федерального закона от 31.07.2020 N 248-ФЗ "О государственном контроле (надзоре) и муниципальном контроле в Российской Федерации" (далее - Федеральный закон N 248-ФЗ) и уже с начала 2022 года Госморречнадзор проводит мероприятия в новых условиях.</w:t>
      </w:r>
      <w:r/>
    </w:p>
    <w:p>
      <w:pPr>
        <w:pStyle w:val="691"/>
        <w:ind w:left="0" w:right="0" w:firstLine="708"/>
      </w:pPr>
      <w:r>
        <w:rPr>
          <w:rFonts w:ascii="Times New Roman" w:hAnsi="Times New Roman" w:cs="Times New Roman"/>
          <w:bCs/>
          <w:sz w:val="28"/>
          <w:szCs w:val="28"/>
        </w:rPr>
        <w:t xml:space="preserve">В деятельности появились мероприятия без взаимодействия с юридическими лицами, несколько видов профилактических мероприятий и специальный режим - постоянный рейд.</w:t>
      </w:r>
      <w:r/>
    </w:p>
    <w:p>
      <w:pPr>
        <w:pStyle w:val="691"/>
        <w:ind w:left="0" w:right="0"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Принцип открытости 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нтрольно-надзорной деятельности, заложенный в Федеральном законе N 248-ФЗ, был реализован путем формирования и поддержания в актуальном состоянии информационных ресурсов: Единого реестра видов контроля и Единого реестра контрольных (надзорных) мероприятий.</w:t>
      </w:r>
      <w:r/>
    </w:p>
    <w:p>
      <w:pPr>
        <w:pStyle w:val="665"/>
        <w:ind w:left="0" w:righ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691"/>
        <w:ind w:left="0" w:right="0"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плановые проверки проводятся только в отношении объектов контроля, отнесенных к категориям чрезвычайно высокого и высокого риска. В отделе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запланировано проведение планов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к. </w:t>
      </w:r>
      <w:r/>
    </w:p>
    <w:p>
      <w:pPr>
        <w:pStyle w:val="691"/>
        <w:ind w:left="0" w:right="0"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 услови</w:t>
      </w:r>
      <w:r>
        <w:rPr>
          <w:rFonts w:ascii="Times New Roman" w:hAnsi="Times New Roman" w:cs="Times New Roman"/>
          <w:bCs/>
          <w:sz w:val="28"/>
          <w:szCs w:val="28"/>
        </w:rPr>
        <w:t xml:space="preserve">ях, когда плановые и внеплановые мероприятия были практически исключены, проводятся контрольные (надзорные) мероприятие без взаимодействия с контролируемым лицом: наблюдений за соблюдением обязательных требований, выездные обследования и постоянные рейды. </w:t>
      </w:r>
      <w:r/>
    </w:p>
    <w:p>
      <w:pPr>
        <w:pStyle w:val="691"/>
        <w:ind w:left="0" w:right="0"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Всего за 1 квартал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проведено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101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контрольно-надзорны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без взаимодействия с контролируемыми лицами, из них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82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виде наблюдений за соблюдением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19 выездных обследований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По результатам контрольно-надзорных мероприятий выявлено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нарушений обязательных требований.</w:t>
      </w:r>
      <w:r/>
    </w:p>
    <w:p>
      <w:pPr>
        <w:pStyle w:val="691"/>
        <w:ind w:left="0" w:right="0" w:firstLine="708"/>
        <w:jc w:val="both"/>
      </w:pPr>
      <w:r/>
      <w:r/>
    </w:p>
    <w:p>
      <w:pPr>
        <w:pStyle w:val="691"/>
        <w:ind w:left="0" w:right="0" w:firstLine="708"/>
        <w:jc w:val="both"/>
      </w:pPr>
      <w:r/>
      <w:r/>
    </w:p>
    <w:p>
      <w:pPr>
        <w:pStyle w:val="69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 Контроль в области обеспечения безопасности судоходных и портовых гидротехнических сооружений</w:t>
      </w:r>
      <w:r/>
    </w:p>
    <w:p>
      <w:pPr>
        <w:pStyle w:val="691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Госморречнадзором продолжается работа по контролю за эксплуатацией судоходных гидротехнических сооружений (далее - СГТС). На сегодняшний день 1 СГТС (Красноярский судоподъемник) имеет декларацию безопасности и разрешения на эксплуатацию.</w:t>
      </w:r>
      <w:r/>
    </w:p>
    <w:p>
      <w:pPr>
        <w:pStyle w:val="691"/>
        <w:jc w:val="both"/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/>
    </w:p>
    <w:p>
      <w:pPr>
        <w:pStyle w:val="69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1.3. Результаты разрешительной деятельности на водном транспорте</w:t>
      </w:r>
      <w:r/>
    </w:p>
    <w:p>
      <w:pPr>
        <w:pStyle w:val="691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С 2022 года предоставление государственных услуг на морском и внутреннем водном транспорте переведено в электронный вид и осуществляется посредством Единого портала государственных услуг (ЕПГУ).</w:t>
      </w:r>
      <w:r/>
    </w:p>
    <w:p>
      <w:pPr>
        <w:pStyle w:val="691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Значительно сократился перечень обязательных требований и документов, необходимых для получения лицензий на водном транспорте.</w:t>
      </w:r>
      <w:r/>
    </w:p>
    <w:p>
      <w:pPr>
        <w:pStyle w:val="691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За 1 квартал 2026 г. поднадзорным субъектам по Красноярскому краю предоставлено 4 лицензии на осуществление деятельности по перевозке внутренним водным транспортом пассажиров с использованием маломерных судов.</w:t>
      </w:r>
      <w:r/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1.4. Специальный режим осуществления государственного</w:t>
      </w:r>
      <w:r/>
    </w:p>
    <w:p>
      <w:pPr>
        <w:pStyle w:val="691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контроля (надзора) "постоянный рейд"</w:t>
      </w:r>
      <w:r/>
    </w:p>
    <w:p>
      <w:pPr>
        <w:pStyle w:val="665"/>
        <w:ind w:left="0" w:right="0" w:firstLine="708"/>
        <w:jc w:val="both"/>
      </w:pPr>
      <w:r>
        <w:rPr>
          <w:b/>
          <w:bCs/>
          <w:sz w:val="28"/>
          <w:szCs w:val="28"/>
        </w:rPr>
        <w:br w:type="textWrapping" w:clear="all"/>
        <w:tab/>
      </w:r>
      <w:r>
        <w:rPr>
          <w:rFonts w:eastAsia="Calibri"/>
          <w:sz w:val="28"/>
          <w:szCs w:val="28"/>
          <w:lang w:eastAsia="en-US"/>
        </w:rPr>
        <w:t xml:space="preserve">В соответствии с Положением о государственном контроле Красноярским ТО ГМРН проводится специальный режим государственного контроля - постоянный рейд.</w:t>
      </w:r>
      <w:r/>
    </w:p>
    <w:p>
      <w:pPr>
        <w:pStyle w:val="691"/>
        <w:ind w:left="0" w:right="0"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Особое внимание при постоянных рейдах уделяется районам с интенсивным судоходством, местам посадки и высадки пассажиров, а также погрузки - выгрузки опасных грузов.</w:t>
      </w:r>
      <w:r/>
    </w:p>
    <w:p>
      <w:pPr>
        <w:pStyle w:val="665"/>
        <w:ind w:left="0" w:right="0" w:firstLine="709"/>
        <w:jc w:val="both"/>
      </w:pPr>
      <w:r>
        <w:rPr>
          <w:rFonts w:eastAsia="Calibri"/>
          <w:bCs/>
          <w:sz w:val="28"/>
          <w:szCs w:val="28"/>
          <w:lang w:eastAsia="en-US"/>
        </w:rPr>
        <w:t xml:space="preserve">Так как навигация ещё не наступила и на месте паромных переправ действует ледовая переправа, специальный режим осуществления государственного контроля (надзора) в виде "постоянного рейда" проводился </w:t>
      </w:r>
      <w:r>
        <w:rPr>
          <w:rFonts w:eastAsia="Calibri"/>
          <w:bCs/>
          <w:sz w:val="28"/>
          <w:szCs w:val="28"/>
          <w:lang w:eastAsia="en-US"/>
        </w:rPr>
        <w:t xml:space="preserve">9</w:t>
      </w:r>
      <w:r>
        <w:rPr>
          <w:rFonts w:eastAsia="Calibri"/>
          <w:bCs/>
          <w:sz w:val="28"/>
          <w:szCs w:val="28"/>
          <w:lang w:eastAsia="en-US"/>
        </w:rPr>
        <w:t xml:space="preserve"> раз на участках, где используются суда на воздушной подушке. </w:t>
      </w:r>
      <w:r>
        <w:rPr>
          <w:rFonts w:eastAsia="Calibri"/>
          <w:bCs/>
          <w:sz w:val="28"/>
          <w:szCs w:val="28"/>
          <w:lang w:eastAsia="en-US"/>
        </w:rPr>
        <w:t xml:space="preserve">Выявлены н</w:t>
      </w:r>
      <w:r>
        <w:rPr>
          <w:rFonts w:eastAsia="Calibri"/>
          <w:bCs/>
          <w:sz w:val="28"/>
          <w:szCs w:val="28"/>
          <w:lang w:eastAsia="en-US"/>
        </w:rPr>
        <w:t xml:space="preserve">арушени</w:t>
      </w:r>
      <w:r>
        <w:rPr>
          <w:rFonts w:eastAsia="Calibri"/>
          <w:bCs/>
          <w:sz w:val="28"/>
          <w:szCs w:val="28"/>
          <w:lang w:eastAsia="en-US"/>
        </w:rPr>
        <w:t xml:space="preserve">я</w:t>
      </w:r>
      <w:r>
        <w:rPr>
          <w:rFonts w:eastAsia="Calibri"/>
          <w:bCs/>
          <w:sz w:val="28"/>
          <w:szCs w:val="28"/>
          <w:lang w:eastAsia="en-US"/>
        </w:rPr>
        <w:t xml:space="preserve"> обязательных требований, </w:t>
      </w:r>
      <w:r>
        <w:rPr>
          <w:rFonts w:eastAsia="Calibri"/>
          <w:bCs/>
          <w:sz w:val="28"/>
          <w:szCs w:val="28"/>
          <w:lang w:eastAsia="en-US"/>
        </w:rPr>
        <w:t xml:space="preserve">вынесено 2 предписания об устранении выявленных нарушений.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/>
    </w:p>
    <w:p>
      <w:pPr>
        <w:pStyle w:val="691"/>
        <w:ind w:left="0" w:right="0" w:firstLine="708"/>
        <w:jc w:val="both"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</w:p>
    <w:p>
      <w:pPr>
        <w:pStyle w:val="665"/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1.5. Профилактика нарушений обязательных требований</w:t>
      </w:r>
      <w:r/>
    </w:p>
    <w:p>
      <w:pPr>
        <w:pStyle w:val="665"/>
        <w:contextualSpacing/>
        <w:ind w:left="1069" w:right="0" w:firstLine="0"/>
        <w:spacing w:before="0" w:after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665"/>
        <w:ind w:left="0" w:righ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Согласно части 1 статьи 8 Федерального закона № 248-ФЗ при осуществлении</w:t>
      </w:r>
      <w:r/>
    </w:p>
    <w:p>
      <w:pPr>
        <w:pStyle w:val="665"/>
        <w:jc w:val="both"/>
      </w:pPr>
      <w:r>
        <w:rPr>
          <w:rFonts w:eastAsia="Calibri"/>
          <w:sz w:val="28"/>
          <w:szCs w:val="28"/>
          <w:lang w:eastAsia="en-US"/>
        </w:rPr>
        <w:t xml:space="preserve">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r/>
    </w:p>
    <w:p>
      <w:pPr>
        <w:pStyle w:val="665"/>
        <w:ind w:left="0" w:righ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При осуществлении федерального государственного контроля (надзора) Госморречнадзором проводятся следующие профилактические мероприятия:</w:t>
      </w:r>
      <w:r/>
    </w:p>
    <w:p>
      <w:pPr>
        <w:pStyle w:val="665"/>
        <w:ind w:left="0" w:righ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- информирование;</w:t>
      </w:r>
      <w:r/>
    </w:p>
    <w:p>
      <w:pPr>
        <w:pStyle w:val="665"/>
        <w:ind w:left="0" w:righ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- объявление предостережения;</w:t>
      </w:r>
      <w:r/>
    </w:p>
    <w:p>
      <w:pPr>
        <w:pStyle w:val="665"/>
        <w:ind w:left="0" w:righ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- консультирование;</w:t>
      </w:r>
      <w:r/>
    </w:p>
    <w:p>
      <w:pPr>
        <w:pStyle w:val="665"/>
        <w:ind w:left="0" w:righ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- профилактический визит;</w:t>
      </w:r>
      <w:r/>
    </w:p>
    <w:p>
      <w:pPr>
        <w:pStyle w:val="665"/>
        <w:ind w:left="0" w:righ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- самообследование.</w:t>
      </w:r>
      <w:r/>
    </w:p>
    <w:p>
      <w:pPr>
        <w:pStyle w:val="665"/>
        <w:jc w:val="both"/>
      </w:pPr>
      <w:r>
        <w:rPr>
          <w:rFonts w:eastAsia="Calibri"/>
          <w:sz w:val="28"/>
          <w:szCs w:val="28"/>
          <w:lang w:eastAsia="en-US"/>
        </w:rPr>
        <w:tab/>
        <w:t xml:space="preserve">За 1 квартал 202</w:t>
      </w: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 года Красноярским ТО ГМРН проведена работа по профилактике рисков причинения вреда (ущерба) охраняемым законом ценностям в виде:</w:t>
      </w:r>
      <w:r/>
    </w:p>
    <w:p>
      <w:pPr>
        <w:pStyle w:val="665"/>
        <w:jc w:val="both"/>
      </w:pPr>
      <w:r>
        <w:rPr>
          <w:rFonts w:eastAsia="Calibri"/>
          <w:sz w:val="28"/>
          <w:szCs w:val="28"/>
          <w:lang w:eastAsia="en-US"/>
        </w:rPr>
        <w:t xml:space="preserve">- консультирования – </w:t>
      </w:r>
      <w:r>
        <w:rPr>
          <w:rFonts w:eastAsia="Calibri"/>
          <w:sz w:val="28"/>
          <w:szCs w:val="28"/>
          <w:lang w:eastAsia="en-US"/>
        </w:rPr>
        <w:t xml:space="preserve">46</w:t>
      </w:r>
      <w:r>
        <w:rPr>
          <w:rFonts w:eastAsia="Calibri"/>
          <w:sz w:val="28"/>
          <w:szCs w:val="28"/>
          <w:lang w:eastAsia="en-US"/>
        </w:rPr>
        <w:t xml:space="preserve">;</w:t>
      </w:r>
      <w:r/>
    </w:p>
    <w:p>
      <w:pPr>
        <w:pStyle w:val="665"/>
        <w:jc w:val="both"/>
      </w:pPr>
      <w:r>
        <w:rPr>
          <w:rFonts w:eastAsia="Calibri"/>
          <w:sz w:val="28"/>
          <w:szCs w:val="28"/>
          <w:lang w:eastAsia="en-US"/>
        </w:rPr>
        <w:t xml:space="preserve">- профилактических визитов – 4, из них обязательных — 4. </w:t>
      </w:r>
      <w:r>
        <w:rPr>
          <w:rFonts w:eastAsia="Calibri"/>
          <w:sz w:val="28"/>
          <w:szCs w:val="28"/>
          <w:lang w:eastAsia="en-US"/>
        </w:rPr>
        <w:t xml:space="preserve">Проведено в формате ВСК с использованием мобильного приложения «Инспектор».</w:t>
      </w:r>
      <w:r/>
    </w:p>
    <w:p>
      <w:pPr>
        <w:pStyle w:val="665"/>
        <w:jc w:val="both"/>
      </w:pPr>
      <w:r>
        <w:rPr>
          <w:rFonts w:eastAsia="Calibri"/>
          <w:sz w:val="28"/>
          <w:szCs w:val="28"/>
          <w:lang w:eastAsia="en-US"/>
        </w:rPr>
        <w:t xml:space="preserve">- объявление предостережения – 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.</w:t>
      </w:r>
      <w:r/>
    </w:p>
    <w:p>
      <w:pPr>
        <w:pStyle w:val="665"/>
        <w:jc w:val="both"/>
      </w:pPr>
      <w:r>
        <w:rPr>
          <w:rFonts w:eastAsia="Calibri"/>
          <w:sz w:val="28"/>
          <w:szCs w:val="28"/>
          <w:lang w:eastAsia="en-US"/>
        </w:rPr>
        <w:t xml:space="preserve">- зарегистрировано деклараций самообследования – </w:t>
      </w: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. </w:t>
      </w:r>
      <w:r/>
    </w:p>
    <w:p>
      <w:pPr>
        <w:pStyle w:val="665"/>
        <w:ind w:left="0" w:righ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С начала 202</w:t>
      </w: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 года обращений граждан не поступало.</w:t>
      </w:r>
      <w:r/>
    </w:p>
    <w:p>
      <w:pPr>
        <w:pStyle w:val="665"/>
        <w:ind w:left="0" w:right="0" w:firstLine="708"/>
        <w:jc w:val="both"/>
      </w:pPr>
      <w:r/>
      <w:r/>
    </w:p>
    <w:p>
      <w:pPr>
        <w:pStyle w:val="665"/>
        <w:ind w:left="0" w:right="0" w:firstLine="708"/>
        <w:jc w:val="both"/>
      </w:pPr>
      <w:r>
        <w:rPr>
          <w:rFonts w:eastAsia="Calibri"/>
          <w:b/>
          <w:bCs/>
          <w:sz w:val="28"/>
          <w:szCs w:val="28"/>
          <w:lang w:val="en-US" w:eastAsia="en-US"/>
        </w:rPr>
        <w:t xml:space="preserve">II</w:t>
      </w:r>
      <w:r>
        <w:rPr>
          <w:rFonts w:eastAsia="Calibri"/>
          <w:b/>
          <w:bCs/>
          <w:sz w:val="28"/>
          <w:szCs w:val="28"/>
          <w:lang w:eastAsia="en-US"/>
        </w:rPr>
        <w:t xml:space="preserve">. Типичные нарушения обязательных требований на водном транспорте</w:t>
      </w:r>
      <w:r/>
    </w:p>
    <w:p>
      <w:pPr>
        <w:pStyle w:val="665"/>
        <w:ind w:left="0" w:right="0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665"/>
        <w:ind w:left="0" w:right="0" w:firstLine="708"/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 xml:space="preserve">2.1. В сфере безопасности судоходства</w:t>
      </w:r>
      <w:r/>
    </w:p>
    <w:p>
      <w:pPr>
        <w:pStyle w:val="665"/>
        <w:ind w:left="0" w:right="0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665"/>
        <w:ind w:left="0" w:right="0" w:firstLine="708"/>
        <w:jc w:val="both"/>
      </w:pPr>
      <w:r>
        <w:rPr>
          <w:rFonts w:eastAsia="Calibri"/>
          <w:bCs/>
          <w:sz w:val="28"/>
          <w:szCs w:val="28"/>
          <w:lang w:eastAsia="en-US"/>
        </w:rPr>
        <w:t xml:space="preserve">- ст. </w:t>
      </w:r>
      <w:r>
        <w:rPr>
          <w:rFonts w:eastAsia="Calibri"/>
          <w:bCs/>
          <w:sz w:val="28"/>
          <w:szCs w:val="28"/>
          <w:lang w:eastAsia="en-US"/>
        </w:rPr>
        <w:t xml:space="preserve">11.16</w:t>
      </w:r>
      <w:r>
        <w:rPr>
          <w:rFonts w:eastAsia="Calibri"/>
          <w:bCs/>
          <w:sz w:val="28"/>
          <w:szCs w:val="28"/>
          <w:lang w:eastAsia="en-US"/>
        </w:rPr>
        <w:t xml:space="preserve"> КоАП РФ: Нарушение требований пожарной безопасности на железнодорожном, морском, внутреннем водном или воздушном транспорте, 1 постановление.</w:t>
      </w:r>
      <w:r/>
    </w:p>
    <w:p>
      <w:pPr>
        <w:pStyle w:val="665"/>
        <w:ind w:left="0" w:right="0"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665"/>
        <w:ind w:left="0" w:right="0"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665"/>
        <w:ind w:left="0" w:right="0" w:firstLine="708"/>
        <w:jc w:val="both"/>
      </w:pPr>
      <w:r>
        <w:rPr>
          <w:rFonts w:eastAsia="Calibri"/>
          <w:b/>
          <w:bCs/>
          <w:sz w:val="28"/>
          <w:szCs w:val="28"/>
          <w:lang w:val="en-US" w:eastAsia="en-US"/>
        </w:rPr>
        <w:t xml:space="preserve">III</w:t>
      </w:r>
      <w:r>
        <w:rPr>
          <w:rFonts w:eastAsia="Calibri"/>
          <w:b/>
          <w:bCs/>
          <w:sz w:val="28"/>
          <w:szCs w:val="28"/>
          <w:lang w:eastAsia="en-US"/>
        </w:rPr>
        <w:t xml:space="preserve">. Анализ случаев причинения вреда (ущерба) охраняемым законом ценностям, выявление источников и факторов риска причинения вреда (ущерба)</w:t>
      </w:r>
      <w:r/>
    </w:p>
    <w:p>
      <w:pPr>
        <w:pStyle w:val="665"/>
        <w:ind w:left="0" w:right="0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665"/>
        <w:ind w:left="0" w:right="0" w:firstLine="708"/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 xml:space="preserve">3.1. Аварийность на водном транспорте</w:t>
      </w:r>
      <w:r/>
    </w:p>
    <w:p>
      <w:pPr>
        <w:pStyle w:val="665"/>
        <w:ind w:left="0" w:right="0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665"/>
        <w:ind w:left="0" w:right="0" w:firstLine="708"/>
        <w:jc w:val="both"/>
      </w:pPr>
      <w:r>
        <w:rPr>
          <w:rFonts w:eastAsia="Calibri"/>
          <w:bCs/>
          <w:sz w:val="28"/>
          <w:szCs w:val="28"/>
          <w:lang w:eastAsia="en-US"/>
        </w:rPr>
        <w:t xml:space="preserve">За 1 квартал 202</w:t>
      </w: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 года Красноярским ТО ГМРН транспортных происшествия на внутреннем водном транспорте не зарегистрировано.</w:t>
      </w:r>
      <w:r/>
    </w:p>
    <w:p>
      <w:pPr>
        <w:pStyle w:val="665"/>
        <w:ind w:left="0" w:right="0"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691"/>
        <w:ind w:left="0" w:right="0" w:firstLine="708"/>
        <w:jc w:val="both"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</w:p>
    <w:p>
      <w:pPr>
        <w:pStyle w:val="691"/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ind w:left="0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erReference w:type="default" r:id="rId8"/>
      <w:foot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67" w:bottom="1134" w:left="1134" w:header="709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libri">
    <w:panose1 w:val="020F0502020204030204"/>
  </w:font>
  <w:font w:name="Droid Sans Devanagari">
    <w:panose1 w:val="02040503050201020203"/>
  </w:font>
  <w:font w:name="Liberation Sans">
    <w:panose1 w:val="020B0604020202020204"/>
  </w:font>
  <w:font w:name="TimesNewRoman">
    <w:panose1 w:val="020206030504050203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ind w:left="0"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page">
                <wp:posOffset>6470015</wp:posOffset>
              </wp:positionH>
              <wp:positionV relativeFrom="paragraph">
                <wp:posOffset>635</wp:posOffset>
              </wp:positionV>
              <wp:extent cx="1089025" cy="17399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08902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88"/>
                          </w:pPr>
                          <w:r>
                            <w:rPr>
                              <w:rStyle w:val="674"/>
                            </w:rPr>
                            <w:fldChar w:fldCharType="begin"/>
                          </w:r>
                          <w:r>
                            <w:rPr>
                              <w:rStyle w:val="674"/>
                            </w:rPr>
                            <w:instrText xml:space="preserve"> PAGE </w:instrText>
                          </w:r>
                          <w:r>
                            <w:rPr>
                              <w:rStyle w:val="674"/>
                            </w:rPr>
                            <w:fldChar w:fldCharType="separate"/>
                          </w:r>
                          <w:r>
                            <w:rPr>
                              <w:rStyle w:val="674"/>
                            </w:rPr>
                            <w:t xml:space="preserve">5</w:t>
                          </w:r>
                          <w:r>
                            <w:rPr>
                              <w:rStyle w:val="67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665"/>
                          </w:pPr>
                          <w:r/>
                          <w:r/>
                        </w:p>
                      </w:txbxContent>
                    </wps:txbx>
                    <wps:bodyPr wrap="square" lIns="635" tIns="635" rIns="635" bIns="635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page;margin-left:509.45pt;mso-position-horizontal:absolute;mso-position-vertical-relative:text;margin-top:0.05pt;mso-position-vertical:absolute;width:85.75pt;height:13.7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688"/>
                    </w:pPr>
                    <w:r>
                      <w:rPr>
                        <w:rStyle w:val="674"/>
                      </w:rPr>
                      <w:fldChar w:fldCharType="begin"/>
                    </w:r>
                    <w:r>
                      <w:rPr>
                        <w:rStyle w:val="674"/>
                      </w:rPr>
                      <w:instrText xml:space="preserve"> PAGE </w:instrText>
                    </w:r>
                    <w:r>
                      <w:rPr>
                        <w:rStyle w:val="674"/>
                      </w:rPr>
                      <w:fldChar w:fldCharType="separate"/>
                    </w:r>
                    <w:r>
                      <w:rPr>
                        <w:rStyle w:val="674"/>
                      </w:rPr>
                      <w:t xml:space="preserve">5</w:t>
                    </w:r>
                    <w:r>
                      <w:rPr>
                        <w:rStyle w:val="674"/>
                      </w:rPr>
                      <w:fldChar w:fldCharType="end"/>
                    </w:r>
                    <w:r/>
                  </w:p>
                  <w:p>
                    <w:pPr>
                      <w:pStyle w:val="66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5"/>
    <w:next w:val="6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table" w:styleId="6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5" w:default="1">
    <w:name w:val="Normal"/>
    <w:next w:val="665"/>
    <w:link w:val="665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66">
    <w:name w:val="Основной шрифт абзаца"/>
    <w:next w:val="666"/>
  </w:style>
  <w:style w:type="character" w:styleId="667">
    <w:name w:val="WW8Num1z0"/>
    <w:next w:val="667"/>
    <w:link w:val="665"/>
  </w:style>
  <w:style w:type="character" w:styleId="668">
    <w:name w:val="WW8Num2z0"/>
    <w:next w:val="668"/>
    <w:link w:val="665"/>
    <w:rPr>
      <w:rFonts w:cs="Times New Roman"/>
    </w:rPr>
  </w:style>
  <w:style w:type="character" w:styleId="669">
    <w:name w:val="WW8Num2z1"/>
    <w:next w:val="669"/>
    <w:link w:val="665"/>
    <w:rPr>
      <w:rFonts w:cs="Times New Roman"/>
    </w:rPr>
  </w:style>
  <w:style w:type="character" w:styleId="670">
    <w:name w:val="WW8Num3z0"/>
    <w:next w:val="670"/>
    <w:link w:val="665"/>
    <w:rPr>
      <w:rFonts w:cs="Times New Roman"/>
    </w:rPr>
  </w:style>
  <w:style w:type="character" w:styleId="671">
    <w:name w:val="WW8Num3z1"/>
    <w:next w:val="671"/>
    <w:rPr>
      <w:rFonts w:cs="Times New Roman"/>
    </w:rPr>
  </w:style>
  <w:style w:type="character" w:styleId="672">
    <w:name w:val="Основной шрифт абзаца1"/>
    <w:next w:val="672"/>
    <w:link w:val="665"/>
  </w:style>
  <w:style w:type="character" w:styleId="673">
    <w:name w:val="Интернет-ссылка"/>
    <w:next w:val="673"/>
    <w:link w:val="665"/>
    <w:rPr>
      <w:color w:val="0000ff"/>
      <w:u w:val="single"/>
    </w:rPr>
  </w:style>
  <w:style w:type="character" w:styleId="674">
    <w:name w:val="Номер страницы"/>
    <w:basedOn w:val="672"/>
    <w:next w:val="674"/>
    <w:link w:val="665"/>
  </w:style>
  <w:style w:type="character" w:styleId="675">
    <w:name w:val="Текст выноски Знак"/>
    <w:next w:val="675"/>
    <w:link w:val="665"/>
    <w:rPr>
      <w:rFonts w:ascii="Segoe UI" w:hAnsi="Segoe UI" w:cs="Segoe UI"/>
      <w:sz w:val="18"/>
      <w:szCs w:val="18"/>
    </w:rPr>
  </w:style>
  <w:style w:type="character" w:styleId="676">
    <w:name w:val="Посещённая гиперссылка"/>
    <w:next w:val="676"/>
    <w:link w:val="665"/>
    <w:rPr>
      <w:color w:val="954f72"/>
      <w:u w:val="single"/>
    </w:rPr>
  </w:style>
  <w:style w:type="character" w:styleId="677">
    <w:name w:val="Неразрешенное упоминание"/>
    <w:next w:val="677"/>
    <w:link w:val="665"/>
    <w:rPr>
      <w:color w:val="605e5c"/>
      <w:shd w:val="clear" w:color="auto" w:fill="e1dfdd"/>
    </w:rPr>
  </w:style>
  <w:style w:type="character" w:styleId="678">
    <w:name w:val="fontstyle01"/>
    <w:next w:val="678"/>
    <w:link w:val="665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paragraph" w:styleId="679">
    <w:name w:val="Заголовок"/>
    <w:basedOn w:val="665"/>
    <w:next w:val="680"/>
    <w:link w:val="665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0">
    <w:name w:val="Основной текст"/>
    <w:basedOn w:val="665"/>
    <w:next w:val="680"/>
    <w:link w:val="665"/>
    <w:pPr>
      <w:spacing w:before="0" w:after="140" w:line="276" w:lineRule="auto"/>
    </w:pPr>
  </w:style>
  <w:style w:type="paragraph" w:styleId="681">
    <w:name w:val="Список"/>
    <w:basedOn w:val="680"/>
    <w:next w:val="681"/>
    <w:link w:val="665"/>
    <w:rPr>
      <w:rFonts w:cs="Arial"/>
    </w:rPr>
  </w:style>
  <w:style w:type="paragraph" w:styleId="682">
    <w:name w:val="Название"/>
    <w:basedOn w:val="665"/>
    <w:next w:val="682"/>
    <w:link w:val="665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83">
    <w:name w:val="Указатель"/>
    <w:basedOn w:val="665"/>
    <w:next w:val="683"/>
    <w:link w:val="665"/>
    <w:pPr>
      <w:suppressLineNumbers/>
    </w:pPr>
    <w:rPr>
      <w:rFonts w:cs="Droid Sans Devanagari"/>
      <w:lang w:val="en-US" w:eastAsia="en-US" w:bidi="en-US"/>
    </w:rPr>
  </w:style>
  <w:style w:type="paragraph" w:styleId="684">
    <w:name w:val="Название объекта"/>
    <w:basedOn w:val="665"/>
    <w:next w:val="684"/>
    <w:link w:val="66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85">
    <w:name w:val="Указатель1"/>
    <w:basedOn w:val="665"/>
    <w:next w:val="685"/>
    <w:link w:val="665"/>
    <w:pPr>
      <w:suppressLineNumbers/>
    </w:pPr>
    <w:rPr>
      <w:rFonts w:cs="Arial"/>
      <w:lang w:val="en-US" w:bidi="en-US"/>
    </w:rPr>
  </w:style>
  <w:style w:type="paragraph" w:styleId="686">
    <w:name w:val="List Paragraph"/>
    <w:basedOn w:val="665"/>
    <w:next w:val="686"/>
    <w:link w:val="665"/>
    <w:pPr>
      <w:contextualSpacing/>
      <w:ind w:left="720" w:right="0" w:firstLine="0"/>
      <w:spacing w:before="0" w:after="160" w:line="254" w:lineRule="auto"/>
    </w:pPr>
    <w:rPr>
      <w:rFonts w:ascii="Calibri" w:hAnsi="Calibri" w:cs="Calibri"/>
      <w:sz w:val="22"/>
      <w:szCs w:val="22"/>
    </w:rPr>
  </w:style>
  <w:style w:type="paragraph" w:styleId="687">
    <w:name w:val="Колонтитул"/>
    <w:basedOn w:val="665"/>
    <w:next w:val="687"/>
    <w:link w:val="665"/>
    <w:pPr>
      <w:tabs>
        <w:tab w:val="center" w:pos="4819" w:leader="none"/>
        <w:tab w:val="right" w:pos="9638" w:leader="none"/>
      </w:tabs>
      <w:suppressLineNumbers/>
    </w:pPr>
  </w:style>
  <w:style w:type="paragraph" w:styleId="688">
    <w:name w:val="Нижний колонтитул"/>
    <w:basedOn w:val="665"/>
    <w:next w:val="688"/>
    <w:link w:val="665"/>
    <w:pPr>
      <w:tabs>
        <w:tab w:val="center" w:pos="4677" w:leader="none"/>
        <w:tab w:val="right" w:pos="9355" w:leader="none"/>
      </w:tabs>
    </w:pPr>
  </w:style>
  <w:style w:type="paragraph" w:styleId="689">
    <w:name w:val="Текст выноски"/>
    <w:basedOn w:val="665"/>
    <w:next w:val="689"/>
    <w:link w:val="665"/>
    <w:rPr>
      <w:rFonts w:ascii="Segoe UI" w:hAnsi="Segoe UI" w:cs="Segoe UI"/>
      <w:sz w:val="18"/>
      <w:szCs w:val="18"/>
    </w:rPr>
  </w:style>
  <w:style w:type="paragraph" w:styleId="690">
    <w:name w:val="ConsPlusNormal"/>
    <w:next w:val="690"/>
    <w:link w:val="665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691">
    <w:name w:val="Без интервала"/>
    <w:next w:val="691"/>
    <w:link w:val="665"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692">
    <w:name w:val="Standard"/>
    <w:next w:val="692"/>
    <w:link w:val="665"/>
    <w:pPr>
      <w:widowControl w:val="off"/>
    </w:pPr>
    <w:rPr>
      <w:rFonts w:ascii="Times New Roman" w:hAnsi="Times New Roman" w:eastAsia="SimSun" w:cs="Arial"/>
      <w:color w:val="auto"/>
      <w:sz w:val="24"/>
      <w:szCs w:val="24"/>
      <w:lang w:val="ru-RU" w:eastAsia="zh-CN" w:bidi="hi-IN"/>
    </w:rPr>
  </w:style>
  <w:style w:type="paragraph" w:styleId="693">
    <w:name w:val="Содержимое таблицы"/>
    <w:basedOn w:val="665"/>
    <w:next w:val="693"/>
    <w:link w:val="665"/>
    <w:pPr>
      <w:widowControl w:val="off"/>
      <w:suppressLineNumbers/>
    </w:pPr>
  </w:style>
  <w:style w:type="paragraph" w:styleId="694">
    <w:name w:val="Заголовок таблицы"/>
    <w:basedOn w:val="693"/>
    <w:next w:val="694"/>
    <w:link w:val="665"/>
    <w:pPr>
      <w:jc w:val="center"/>
      <w:suppressLineNumbers/>
    </w:pPr>
    <w:rPr>
      <w:b/>
      <w:bCs/>
    </w:rPr>
  </w:style>
  <w:style w:type="paragraph" w:styleId="695">
    <w:name w:val="Содержимое врезки"/>
    <w:basedOn w:val="665"/>
    <w:next w:val="695"/>
    <w:link w:val="665"/>
  </w:style>
  <w:style w:type="character" w:styleId="1254" w:default="1">
    <w:name w:val="Default Paragraph Font"/>
    <w:uiPriority w:val="1"/>
    <w:semiHidden/>
    <w:unhideWhenUsed/>
  </w:style>
  <w:style w:type="numbering" w:styleId="12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Harsekina_OV</cp:lastModifiedBy>
  <cp:revision>13</cp:revision>
  <dcterms:created xsi:type="dcterms:W3CDTF">2023-12-06T07:32:00Z</dcterms:created>
  <dcterms:modified xsi:type="dcterms:W3CDTF">2026-04-02T09:30:23Z</dcterms:modified>
</cp:coreProperties>
</file>